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B4E" w:rsidRPr="00B3266D" w:rsidRDefault="00592EC6">
      <w:pPr>
        <w:rPr>
          <w:b/>
          <w:u w:val="single"/>
        </w:rPr>
      </w:pPr>
      <w:r w:rsidRPr="00B3266D">
        <w:rPr>
          <w:b/>
          <w:u w:val="single"/>
        </w:rPr>
        <w:t>Bilan chiffré du mouvement :</w:t>
      </w:r>
    </w:p>
    <w:p w:rsidR="00135B4C" w:rsidRDefault="00AD4BA1">
      <w:r>
        <w:t>Un</w:t>
      </w:r>
      <w:r w:rsidR="00135B4C">
        <w:t xml:space="preserve"> mouvement de plus en plus réduit. Cette évolution s’explique par l’augmentation du recrutement local et par la diminution du nombre de postes.</w:t>
      </w:r>
      <w:r w:rsidR="00551AA2">
        <w:t xml:space="preserve"> Avec 87</w:t>
      </w:r>
      <w:r w:rsidR="00135B4C">
        <w:t xml:space="preserve"> MAD recrutés cette année, on est dans une petite année mais les projections à partir des RAD ne devraient voir des recrutements dépasser le chif</w:t>
      </w:r>
      <w:r w:rsidR="00551AA2">
        <w:t>fre total de 10</w:t>
      </w:r>
      <w:r w:rsidR="00135B4C">
        <w:t>0 par an.</w:t>
      </w:r>
    </w:p>
    <w:p w:rsidR="00135B4C" w:rsidRDefault="00135B4C">
      <w:r>
        <w:t xml:space="preserve">Des chiffres affichés qui peuvent tromper, en effet chaque année sur le site de la DGEE apparaissent les postes à pouvoir. Attention, ces postes sont susceptibles d’être utilisés par les CIMM, les stagiaires, les contractuels et enfin </w:t>
      </w:r>
      <w:bookmarkStart w:id="0" w:name="_GoBack"/>
      <w:r>
        <w:t>les MAD. Sur les 211 postes affichés cette année, 55% ont été affectés localement.</w:t>
      </w:r>
    </w:p>
    <w:bookmarkEnd w:id="0"/>
    <w:p w:rsidR="00135B4C" w:rsidRDefault="007C2390">
      <w:proofErr w:type="gramStart"/>
      <w:r>
        <w:t>1452  candidatures</w:t>
      </w:r>
      <w:proofErr w:type="gramEnd"/>
      <w:r>
        <w:t xml:space="preserve"> cette</w:t>
      </w:r>
      <w:r w:rsidR="00746B8E">
        <w:t xml:space="preserve"> année (hors EPS) pour </w:t>
      </w:r>
      <w:r>
        <w:t xml:space="preserve"> 101 recrutés</w:t>
      </w:r>
      <w:r w:rsidR="00551AA2">
        <w:t xml:space="preserve"> (les 87 présentés dans le tableau + les matières techniques)</w:t>
      </w:r>
      <w:r>
        <w:t> ; les places sont chères.</w:t>
      </w:r>
    </w:p>
    <w:p w:rsidR="00AD4BA1" w:rsidRDefault="00107ACF">
      <w:r>
        <w:t xml:space="preserve">Plus de </w:t>
      </w:r>
      <w:r w:rsidR="00251D96">
        <w:t>4</w:t>
      </w:r>
      <w:r w:rsidR="00AD4BA1">
        <w:t>00 dossiers ont été écartés par le V</w:t>
      </w:r>
      <w:r w:rsidR="00251D96">
        <w:t>ice-Rectorat (voir déclaration liminaire en PJ).</w:t>
      </w:r>
      <w:r w:rsidR="00AD4BA1">
        <w:t xml:space="preserve"> </w:t>
      </w:r>
    </w:p>
    <w:p w:rsidR="00592EC6" w:rsidRDefault="00592EC6">
      <w:pPr>
        <w:rPr>
          <w:b/>
          <w:u w:val="single"/>
        </w:rPr>
      </w:pPr>
      <w:r w:rsidRPr="00592EC6">
        <w:rPr>
          <w:b/>
          <w:u w:val="single"/>
        </w:rPr>
        <w:t>Classement des matières par importance des postes :</w:t>
      </w:r>
    </w:p>
    <w:p w:rsidR="007C2390" w:rsidRDefault="007C2390">
      <w:r w:rsidRPr="00B02D52">
        <w:rPr>
          <w:b/>
        </w:rPr>
        <w:t>Allemand</w:t>
      </w:r>
      <w:r>
        <w:rPr>
          <w:b/>
          <w:u w:val="single"/>
        </w:rPr>
        <w:t> </w:t>
      </w:r>
      <w:r w:rsidRPr="007C2390">
        <w:t>: Pas de poste cet</w:t>
      </w:r>
      <w:r w:rsidR="004254E0">
        <w:t>te année.</w:t>
      </w:r>
    </w:p>
    <w:p w:rsidR="007C2390" w:rsidRPr="00B02D52" w:rsidRDefault="007C2390">
      <w:r w:rsidRPr="00B02D52">
        <w:rPr>
          <w:b/>
        </w:rPr>
        <w:t>Anglais :</w:t>
      </w:r>
      <w:r w:rsidRPr="00B02D52">
        <w:t xml:space="preserve"> Aucun MAD cette année malgré un mouvement important. Le recrutement local reste important. Des CIMM en de</w:t>
      </w:r>
      <w:r w:rsidR="004254E0">
        <w:t xml:space="preserve">hors du Territoire ont pu être réintégrés </w:t>
      </w:r>
      <w:r w:rsidRPr="00B02D52">
        <w:t>cette année.</w:t>
      </w:r>
    </w:p>
    <w:p w:rsidR="007C2390" w:rsidRPr="00B02D52" w:rsidRDefault="007C2390">
      <w:r w:rsidRPr="00B02D52">
        <w:rPr>
          <w:b/>
        </w:rPr>
        <w:t xml:space="preserve">Arts Plastiques : </w:t>
      </w:r>
      <w:r w:rsidRPr="00B02D52">
        <w:t>Aucun MAD cette année. Là aussi le recrutement local devient important. On peut espérer 2 à 3 postes les prochaines années.</w:t>
      </w:r>
    </w:p>
    <w:p w:rsidR="007C2390" w:rsidRDefault="007C2390">
      <w:r w:rsidRPr="00B02D52">
        <w:rPr>
          <w:b/>
        </w:rPr>
        <w:t>CPE :</w:t>
      </w:r>
      <w:r w:rsidRPr="00B02D52">
        <w:t xml:space="preserve"> 9</w:t>
      </w:r>
      <w:r>
        <w:t xml:space="preserve"> MAD dont 4 PCP (poste à contraintes particulières). Le SNES continue de s’opposer </w:t>
      </w:r>
      <w:r w:rsidR="00B02D52">
        <w:t>au profilage de ces postes sur les grandes îles. Les obligations de service des recrutés seront soumis à des contraintes qu’ils devront accepter.</w:t>
      </w:r>
    </w:p>
    <w:p w:rsidR="00B02D52" w:rsidRDefault="00B02D52">
      <w:r>
        <w:t>Les échelons à faibles barèmes (1 au 6</w:t>
      </w:r>
      <w:r w:rsidRPr="00B02D52">
        <w:rPr>
          <w:vertAlign w:val="superscript"/>
        </w:rPr>
        <w:t>ième</w:t>
      </w:r>
      <w:r>
        <w:t xml:space="preserve"> et 1 HC) qui ont été recrutés</w:t>
      </w:r>
      <w:r w:rsidR="004254E0">
        <w:t xml:space="preserve"> sont nommés plutôt </w:t>
      </w:r>
      <w:r>
        <w:t>dans des îles éloignées. Ils profitaient de la bonification postes doubles (ce qui est assez rare à réaliser dans les îles éloignées).</w:t>
      </w:r>
    </w:p>
    <w:p w:rsidR="00B02D52" w:rsidRPr="007C2390" w:rsidRDefault="00B02D52">
      <w:r w:rsidRPr="00B02D52">
        <w:rPr>
          <w:b/>
        </w:rPr>
        <w:t>Education Musicale</w:t>
      </w:r>
      <w:r>
        <w:t> : grand éparpillement des barèmes</w:t>
      </w:r>
      <w:r w:rsidR="004254E0">
        <w:t xml:space="preserve"> </w:t>
      </w:r>
      <w:proofErr w:type="gramStart"/>
      <w:r w:rsidR="004254E0">
        <w:t xml:space="preserve">des </w:t>
      </w:r>
      <w:r>
        <w:t xml:space="preserve"> recrutés</w:t>
      </w:r>
      <w:proofErr w:type="gramEnd"/>
      <w:r>
        <w:t xml:space="preserve"> mais il ne faut pas se leurrer, les petits barèmes sont partis dans les îles éloignées ou ont profité de la bonification postes doubles.</w:t>
      </w:r>
    </w:p>
    <w:p w:rsidR="00B02D52" w:rsidRDefault="00B02D52">
      <w:r w:rsidRPr="00B02D52">
        <w:rPr>
          <w:b/>
        </w:rPr>
        <w:t>Espagnol :</w:t>
      </w:r>
      <w:r>
        <w:t xml:space="preserve"> Une matière où le recrutement local augmente rapidement et qui devrait donc se tarir chaque année. </w:t>
      </w:r>
    </w:p>
    <w:p w:rsidR="00B02D52" w:rsidRDefault="004254E0">
      <w:r>
        <w:rPr>
          <w:b/>
        </w:rPr>
        <w:t>Histoire-</w:t>
      </w:r>
      <w:r w:rsidR="00B02D52" w:rsidRPr="00B02D52">
        <w:rPr>
          <w:b/>
        </w:rPr>
        <w:t>Géo</w:t>
      </w:r>
      <w:r>
        <w:rPr>
          <w:b/>
        </w:rPr>
        <w:t>graphie</w:t>
      </w:r>
      <w:r w:rsidR="00B02D52" w:rsidRPr="00B02D52">
        <w:rPr>
          <w:b/>
        </w:rPr>
        <w:t> :</w:t>
      </w:r>
      <w:r w:rsidR="00B02D52">
        <w:t xml:space="preserve"> 8 MAD dont 5 sur les gros barèmes et 4 en poste double. Dans la matière d</w:t>
      </w:r>
      <w:r w:rsidR="00E80899">
        <w:t>e Clio, il faut être au bon barè</w:t>
      </w:r>
      <w:r w:rsidR="00B02D52">
        <w:t>me, être en couple pour espérer les postes demandés. Il restera quelques postes en REP+ ou dans les îles éloignées pour les barème</w:t>
      </w:r>
      <w:r w:rsidR="00E80899">
        <w:t>s</w:t>
      </w:r>
      <w:r w:rsidR="00B02D52">
        <w:t xml:space="preserve"> s’écartant du 9ième.</w:t>
      </w:r>
    </w:p>
    <w:p w:rsidR="00E80899" w:rsidRDefault="00E80899">
      <w:r w:rsidRPr="00E80899">
        <w:rPr>
          <w:b/>
        </w:rPr>
        <w:t>Lettres Classiques</w:t>
      </w:r>
      <w:r w:rsidR="00652CC0">
        <w:rPr>
          <w:b/>
        </w:rPr>
        <w:t xml:space="preserve"> et philo</w:t>
      </w:r>
      <w:r w:rsidR="004254E0">
        <w:rPr>
          <w:b/>
        </w:rPr>
        <w:t>sophie</w:t>
      </w:r>
      <w:r w:rsidRPr="00E80899">
        <w:rPr>
          <w:b/>
        </w:rPr>
        <w:t> :</w:t>
      </w:r>
      <w:r>
        <w:t xml:space="preserve"> Matière</w:t>
      </w:r>
      <w:r w:rsidR="00652CC0">
        <w:t>s</w:t>
      </w:r>
      <w:r w:rsidR="004254E0">
        <w:t xml:space="preserve"> qui recrutent des </w:t>
      </w:r>
      <w:r>
        <w:t>MAD. Les faibles barèmes ont pu rentrer (8 candidats pour 5 postes </w:t>
      </w:r>
      <w:r w:rsidR="00652CC0">
        <w:t>en LC et 13 cand</w:t>
      </w:r>
      <w:r w:rsidR="004254E0">
        <w:t>idats pour 5 postes en philo)</w:t>
      </w:r>
      <w:r>
        <w:t xml:space="preserve">. </w:t>
      </w:r>
    </w:p>
    <w:p w:rsidR="00E80899" w:rsidRDefault="00E80899">
      <w:r w:rsidRPr="00E80899">
        <w:rPr>
          <w:b/>
        </w:rPr>
        <w:t>Lettres modernes :</w:t>
      </w:r>
      <w:r>
        <w:t xml:space="preserve"> La matière qui recrute le plus (mais celle qui a vu le nombre de candidatures exploser). C’est ce qui explique que sur les 13 recrutés 11 étaient sur les 2 barèmes les plus dotés en points (le 8 et le 9</w:t>
      </w:r>
      <w:r w:rsidRPr="00E80899">
        <w:rPr>
          <w:vertAlign w:val="superscript"/>
        </w:rPr>
        <w:t>ième</w:t>
      </w:r>
      <w:r>
        <w:t>).  6 Postes doubles. Il faut donc pour e</w:t>
      </w:r>
      <w:r w:rsidR="004254E0">
        <w:t xml:space="preserve">spérer avoir </w:t>
      </w:r>
      <w:proofErr w:type="gramStart"/>
      <w:r w:rsidR="004254E0">
        <w:t>un  poste</w:t>
      </w:r>
      <w:proofErr w:type="gramEnd"/>
      <w:r w:rsidR="004254E0">
        <w:t xml:space="preserve"> être au maximum du</w:t>
      </w:r>
      <w:r>
        <w:t xml:space="preserve"> barème et profiter de la bonification postes doubles.</w:t>
      </w:r>
    </w:p>
    <w:p w:rsidR="00652CC0" w:rsidRDefault="00652CC0">
      <w:r w:rsidRPr="00652CC0">
        <w:rPr>
          <w:b/>
        </w:rPr>
        <w:t>Mathématiques</w:t>
      </w:r>
      <w:r>
        <w:t xml:space="preserve"> : 6 MAD pour 94 candidatures, les 4 recrutés sur les </w:t>
      </w:r>
      <w:r w:rsidR="004254E0">
        <w:t>postes les plus convoités</w:t>
      </w:r>
      <w:r>
        <w:t xml:space="preserve"> étaient tous au 9</w:t>
      </w:r>
      <w:r w:rsidRPr="00652CC0">
        <w:rPr>
          <w:vertAlign w:val="superscript"/>
        </w:rPr>
        <w:t>ième</w:t>
      </w:r>
      <w:r>
        <w:t xml:space="preserve">. Les autres ont </w:t>
      </w:r>
      <w:r w:rsidR="004254E0">
        <w:t xml:space="preserve">été nommés sur des postes moins demandés. </w:t>
      </w:r>
      <w:r>
        <w:t>Le recrutement local est important et on peut penser que la matière risque de se fermer dans les prochaines années aux MAD.</w:t>
      </w:r>
    </w:p>
    <w:p w:rsidR="00652CC0" w:rsidRDefault="00652CC0">
      <w:r w:rsidRPr="00652CC0">
        <w:rPr>
          <w:b/>
        </w:rPr>
        <w:t>Physique-Chimie :</w:t>
      </w:r>
      <w:r>
        <w:t xml:space="preserve"> Une matière qui étaient fermée ces d</w:t>
      </w:r>
      <w:r w:rsidR="004254E0">
        <w:t>ernières années et qui s’ouvre</w:t>
      </w:r>
      <w:r>
        <w:t xml:space="preserve"> du fait des départs en retraite. Attention, les postes proposés ne devraient pas dépasser les 4/5.</w:t>
      </w:r>
    </w:p>
    <w:p w:rsidR="00652CC0" w:rsidRDefault="00652CC0">
      <w:r w:rsidRPr="00B3266D">
        <w:rPr>
          <w:b/>
        </w:rPr>
        <w:t>SES </w:t>
      </w:r>
      <w:r>
        <w:t xml:space="preserve">: Peu de postes mais peu de candidatures. Pourtant les postes </w:t>
      </w:r>
      <w:r w:rsidR="004254E0">
        <w:t>ont été attribués avec de gros barèmes.</w:t>
      </w:r>
    </w:p>
    <w:p w:rsidR="00B3266D" w:rsidRDefault="00B3266D">
      <w:r w:rsidRPr="00B3266D">
        <w:rPr>
          <w:b/>
        </w:rPr>
        <w:t>SVT :</w:t>
      </w:r>
      <w:r>
        <w:t xml:space="preserve"> 1 MAD. Nous sommes clairement sur une matière qui devrait se fermer aux MAD du fait du recrutement local. Mais il en suffit d’un recruté et c’est vous pour faire disparaitre tout</w:t>
      </w:r>
      <w:r w:rsidR="004254E0">
        <w:t>e</w:t>
      </w:r>
      <w:r>
        <w:t xml:space="preserve"> statistique (le poste est parti au 8</w:t>
      </w:r>
      <w:r w:rsidRPr="00B3266D">
        <w:rPr>
          <w:vertAlign w:val="superscript"/>
        </w:rPr>
        <w:t>ième</w:t>
      </w:r>
      <w:r>
        <w:t xml:space="preserve"> échelon).</w:t>
      </w:r>
    </w:p>
    <w:p w:rsidR="00B3266D" w:rsidRDefault="00B3266D">
      <w:r w:rsidRPr="00B3266D">
        <w:rPr>
          <w:b/>
        </w:rPr>
        <w:t>Technologie :</w:t>
      </w:r>
      <w:r>
        <w:t xml:space="preserve"> Peut-être la matière la plus ouverte puisque les postes </w:t>
      </w:r>
      <w:r w:rsidR="004254E0">
        <w:t xml:space="preserve">ont été attribué avec des </w:t>
      </w:r>
      <w:proofErr w:type="gramStart"/>
      <w:r w:rsidR="004254E0">
        <w:t xml:space="preserve">barèmes </w:t>
      </w:r>
      <w:r>
        <w:t xml:space="preserve"> sur</w:t>
      </w:r>
      <w:proofErr w:type="gramEnd"/>
      <w:r>
        <w:t xml:space="preserve"> 7 échelons différents.</w:t>
      </w:r>
    </w:p>
    <w:p w:rsidR="00652CC0" w:rsidRDefault="00652CC0"/>
    <w:p w:rsidR="00652CC0" w:rsidRDefault="00652CC0" w:rsidP="00652CC0">
      <w:r>
        <w:t>Nous sommes désolés de n’avoir pas pris dans ce tableau les matières techniques (trop nombreuses). Les postes (14 proposés) sont souvent à l’unité (sauf en en éco gestion où on peut compter sur 5/6 postes par an).</w:t>
      </w:r>
    </w:p>
    <w:p w:rsidR="00B3266D" w:rsidRDefault="00B3266D" w:rsidP="00652CC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55"/>
        <w:gridCol w:w="1045"/>
        <w:gridCol w:w="1281"/>
        <w:gridCol w:w="971"/>
        <w:gridCol w:w="597"/>
        <w:gridCol w:w="597"/>
        <w:gridCol w:w="597"/>
        <w:gridCol w:w="597"/>
        <w:gridCol w:w="597"/>
        <w:gridCol w:w="597"/>
        <w:gridCol w:w="597"/>
        <w:gridCol w:w="597"/>
        <w:gridCol w:w="514"/>
        <w:gridCol w:w="514"/>
      </w:tblGrid>
      <w:tr w:rsidR="00551AA2" w:rsidRPr="00B3266D" w:rsidTr="00B3266D">
        <w:trPr>
          <w:trHeight w:val="288"/>
        </w:trPr>
        <w:tc>
          <w:tcPr>
            <w:tcW w:w="1760" w:type="dxa"/>
            <w:noWrap/>
            <w:hideMark/>
          </w:tcPr>
          <w:p w:rsidR="00B3266D" w:rsidRPr="00B3266D" w:rsidRDefault="00B3266D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noWrap/>
            <w:hideMark/>
          </w:tcPr>
          <w:p w:rsidR="00B3266D" w:rsidRPr="00B3266D" w:rsidRDefault="00B3266D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B3266D">
              <w:rPr>
                <w:b/>
                <w:bCs/>
                <w:sz w:val="18"/>
                <w:szCs w:val="18"/>
              </w:rPr>
              <w:t>nombre</w:t>
            </w:r>
            <w:proofErr w:type="gramEnd"/>
            <w:r w:rsidRPr="00B3266D">
              <w:rPr>
                <w:b/>
                <w:bCs/>
                <w:sz w:val="18"/>
                <w:szCs w:val="18"/>
              </w:rPr>
              <w:t xml:space="preserve"> de</w:t>
            </w:r>
          </w:p>
        </w:tc>
        <w:tc>
          <w:tcPr>
            <w:tcW w:w="1660" w:type="dxa"/>
            <w:noWrap/>
            <w:hideMark/>
          </w:tcPr>
          <w:p w:rsidR="00B3266D" w:rsidRPr="00B3266D" w:rsidRDefault="00B3266D" w:rsidP="00B3266D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B3266D">
              <w:rPr>
                <w:b/>
                <w:bCs/>
                <w:sz w:val="18"/>
                <w:szCs w:val="18"/>
              </w:rPr>
              <w:t>nombre</w:t>
            </w:r>
            <w:proofErr w:type="gramEnd"/>
            <w:r w:rsidRPr="00B3266D">
              <w:rPr>
                <w:b/>
                <w:bCs/>
                <w:sz w:val="18"/>
                <w:szCs w:val="18"/>
              </w:rPr>
              <w:t xml:space="preserve"> de</w:t>
            </w:r>
          </w:p>
        </w:tc>
        <w:tc>
          <w:tcPr>
            <w:tcW w:w="1240" w:type="dxa"/>
            <w:noWrap/>
            <w:hideMark/>
          </w:tcPr>
          <w:p w:rsidR="00B3266D" w:rsidRPr="00B3266D" w:rsidRDefault="00B3266D" w:rsidP="00B3266D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B3266D">
              <w:rPr>
                <w:b/>
                <w:bCs/>
                <w:sz w:val="18"/>
                <w:szCs w:val="18"/>
              </w:rPr>
              <w:t>nombre</w:t>
            </w:r>
            <w:proofErr w:type="gramEnd"/>
            <w:r w:rsidRPr="00B3266D">
              <w:rPr>
                <w:b/>
                <w:bCs/>
                <w:sz w:val="18"/>
                <w:szCs w:val="18"/>
              </w:rPr>
              <w:t xml:space="preserve"> de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b/>
                <w:bCs/>
                <w:sz w:val="18"/>
                <w:szCs w:val="18"/>
              </w:rPr>
            </w:pPr>
            <w:r w:rsidRPr="00B3266D">
              <w:rPr>
                <w:b/>
                <w:bCs/>
                <w:sz w:val="18"/>
                <w:szCs w:val="18"/>
              </w:rPr>
              <w:t>4</w:t>
            </w:r>
            <w:r w:rsidR="00551AA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551AA2" w:rsidRPr="00551AA2">
              <w:rPr>
                <w:bCs/>
                <w:sz w:val="16"/>
                <w:szCs w:val="16"/>
              </w:rPr>
              <w:t>ième</w:t>
            </w:r>
            <w:proofErr w:type="spellEnd"/>
            <w:r w:rsidR="00551AA2" w:rsidRPr="00551AA2">
              <w:rPr>
                <w:bCs/>
                <w:sz w:val="16"/>
                <w:szCs w:val="16"/>
              </w:rPr>
              <w:t xml:space="preserve"> échelon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b/>
                <w:bCs/>
                <w:sz w:val="18"/>
                <w:szCs w:val="18"/>
              </w:rPr>
            </w:pPr>
            <w:r w:rsidRPr="00B3266D">
              <w:rPr>
                <w:b/>
                <w:bCs/>
                <w:sz w:val="18"/>
                <w:szCs w:val="18"/>
              </w:rPr>
              <w:t>5</w:t>
            </w:r>
            <w:r w:rsidR="00551AA2" w:rsidRPr="00551AA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551AA2" w:rsidRPr="00551AA2">
              <w:rPr>
                <w:bCs/>
                <w:sz w:val="16"/>
                <w:szCs w:val="16"/>
              </w:rPr>
              <w:t>ième</w:t>
            </w:r>
            <w:proofErr w:type="spellEnd"/>
            <w:r w:rsidR="00551AA2" w:rsidRPr="00551AA2">
              <w:rPr>
                <w:bCs/>
                <w:sz w:val="16"/>
                <w:szCs w:val="16"/>
              </w:rPr>
              <w:t xml:space="preserve"> échelon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b/>
                <w:bCs/>
                <w:sz w:val="18"/>
                <w:szCs w:val="18"/>
              </w:rPr>
            </w:pPr>
            <w:r w:rsidRPr="00B3266D">
              <w:rPr>
                <w:b/>
                <w:bCs/>
                <w:sz w:val="18"/>
                <w:szCs w:val="18"/>
              </w:rPr>
              <w:t>6</w:t>
            </w:r>
            <w:r w:rsidR="00551AA2" w:rsidRPr="00551AA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551AA2" w:rsidRPr="00551AA2">
              <w:rPr>
                <w:bCs/>
                <w:sz w:val="16"/>
                <w:szCs w:val="16"/>
              </w:rPr>
              <w:t>ième</w:t>
            </w:r>
            <w:proofErr w:type="spellEnd"/>
            <w:r w:rsidR="00551AA2" w:rsidRPr="00551AA2">
              <w:rPr>
                <w:bCs/>
                <w:sz w:val="16"/>
                <w:szCs w:val="16"/>
              </w:rPr>
              <w:t xml:space="preserve"> échelon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b/>
                <w:bCs/>
                <w:sz w:val="18"/>
                <w:szCs w:val="18"/>
              </w:rPr>
            </w:pPr>
            <w:r w:rsidRPr="00B3266D">
              <w:rPr>
                <w:b/>
                <w:bCs/>
                <w:sz w:val="18"/>
                <w:szCs w:val="18"/>
              </w:rPr>
              <w:t>7</w:t>
            </w:r>
            <w:r w:rsidR="00551AA2" w:rsidRPr="00551AA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551AA2" w:rsidRPr="00551AA2">
              <w:rPr>
                <w:bCs/>
                <w:sz w:val="16"/>
                <w:szCs w:val="16"/>
              </w:rPr>
              <w:t>ième</w:t>
            </w:r>
            <w:proofErr w:type="spellEnd"/>
            <w:r w:rsidR="00551AA2" w:rsidRPr="00551AA2">
              <w:rPr>
                <w:bCs/>
                <w:sz w:val="16"/>
                <w:szCs w:val="16"/>
              </w:rPr>
              <w:t xml:space="preserve"> échelon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b/>
                <w:bCs/>
                <w:sz w:val="18"/>
                <w:szCs w:val="18"/>
              </w:rPr>
            </w:pPr>
            <w:r w:rsidRPr="00B3266D">
              <w:rPr>
                <w:b/>
                <w:bCs/>
                <w:sz w:val="18"/>
                <w:szCs w:val="18"/>
              </w:rPr>
              <w:t>8</w:t>
            </w:r>
            <w:r w:rsidR="00551AA2" w:rsidRPr="00551AA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551AA2" w:rsidRPr="00551AA2">
              <w:rPr>
                <w:bCs/>
                <w:sz w:val="16"/>
                <w:szCs w:val="16"/>
              </w:rPr>
              <w:t>ième</w:t>
            </w:r>
            <w:proofErr w:type="spellEnd"/>
            <w:r w:rsidR="00551AA2" w:rsidRPr="00551AA2">
              <w:rPr>
                <w:bCs/>
                <w:sz w:val="16"/>
                <w:szCs w:val="16"/>
              </w:rPr>
              <w:t xml:space="preserve"> échelon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b/>
                <w:bCs/>
                <w:sz w:val="18"/>
                <w:szCs w:val="18"/>
              </w:rPr>
            </w:pPr>
            <w:r w:rsidRPr="00B3266D">
              <w:rPr>
                <w:b/>
                <w:bCs/>
                <w:sz w:val="18"/>
                <w:szCs w:val="18"/>
              </w:rPr>
              <w:t>9</w:t>
            </w:r>
            <w:r w:rsidR="00551AA2" w:rsidRPr="00551AA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551AA2" w:rsidRPr="00551AA2">
              <w:rPr>
                <w:bCs/>
                <w:sz w:val="16"/>
                <w:szCs w:val="16"/>
              </w:rPr>
              <w:t>ième</w:t>
            </w:r>
            <w:proofErr w:type="spellEnd"/>
            <w:r w:rsidR="00551AA2" w:rsidRPr="00551AA2">
              <w:rPr>
                <w:bCs/>
                <w:sz w:val="16"/>
                <w:szCs w:val="16"/>
              </w:rPr>
              <w:t xml:space="preserve"> échelon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b/>
                <w:bCs/>
                <w:sz w:val="18"/>
                <w:szCs w:val="18"/>
              </w:rPr>
            </w:pPr>
            <w:r w:rsidRPr="00B3266D">
              <w:rPr>
                <w:b/>
                <w:bCs/>
                <w:sz w:val="18"/>
                <w:szCs w:val="18"/>
              </w:rPr>
              <w:t>10</w:t>
            </w:r>
            <w:r w:rsidR="00551AA2" w:rsidRPr="00551AA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551AA2" w:rsidRPr="00551AA2">
              <w:rPr>
                <w:bCs/>
                <w:sz w:val="16"/>
                <w:szCs w:val="16"/>
              </w:rPr>
              <w:t>ième</w:t>
            </w:r>
            <w:proofErr w:type="spellEnd"/>
            <w:r w:rsidR="00551AA2" w:rsidRPr="00551AA2">
              <w:rPr>
                <w:bCs/>
                <w:sz w:val="16"/>
                <w:szCs w:val="16"/>
              </w:rPr>
              <w:t xml:space="preserve"> échelon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b/>
                <w:bCs/>
                <w:sz w:val="18"/>
                <w:szCs w:val="18"/>
              </w:rPr>
            </w:pPr>
            <w:r w:rsidRPr="00B3266D">
              <w:rPr>
                <w:b/>
                <w:bCs/>
                <w:sz w:val="18"/>
                <w:szCs w:val="18"/>
              </w:rPr>
              <w:t>11</w:t>
            </w:r>
            <w:r w:rsidR="00551AA2" w:rsidRPr="00551AA2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="00551AA2" w:rsidRPr="00551AA2">
              <w:rPr>
                <w:bCs/>
                <w:sz w:val="16"/>
                <w:szCs w:val="16"/>
              </w:rPr>
              <w:t>ième</w:t>
            </w:r>
            <w:proofErr w:type="spellEnd"/>
            <w:r w:rsidR="00551AA2" w:rsidRPr="00551AA2">
              <w:rPr>
                <w:bCs/>
                <w:sz w:val="16"/>
                <w:szCs w:val="16"/>
              </w:rPr>
              <w:t xml:space="preserve"> échelon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b/>
                <w:bCs/>
                <w:sz w:val="18"/>
                <w:szCs w:val="18"/>
              </w:rPr>
            </w:pPr>
            <w:r w:rsidRPr="00B3266D">
              <w:rPr>
                <w:b/>
                <w:bCs/>
                <w:sz w:val="18"/>
                <w:szCs w:val="18"/>
              </w:rPr>
              <w:t>HC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b/>
                <w:bCs/>
                <w:sz w:val="18"/>
                <w:szCs w:val="18"/>
              </w:rPr>
            </w:pPr>
            <w:r w:rsidRPr="00B3266D">
              <w:rPr>
                <w:b/>
                <w:bCs/>
                <w:sz w:val="18"/>
                <w:szCs w:val="18"/>
              </w:rPr>
              <w:t>PD</w:t>
            </w:r>
          </w:p>
        </w:tc>
      </w:tr>
      <w:tr w:rsidR="00551AA2" w:rsidRPr="00B3266D" w:rsidTr="00B3266D">
        <w:trPr>
          <w:trHeight w:val="288"/>
        </w:trPr>
        <w:tc>
          <w:tcPr>
            <w:tcW w:w="1760" w:type="dxa"/>
            <w:noWrap/>
            <w:hideMark/>
          </w:tcPr>
          <w:p w:rsidR="00B3266D" w:rsidRPr="00B3266D" w:rsidRDefault="00B3266D" w:rsidP="00B3266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40" w:type="dxa"/>
            <w:noWrap/>
            <w:hideMark/>
          </w:tcPr>
          <w:p w:rsidR="00B3266D" w:rsidRPr="00B3266D" w:rsidRDefault="00B3266D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B3266D">
              <w:rPr>
                <w:b/>
                <w:bCs/>
                <w:sz w:val="18"/>
                <w:szCs w:val="18"/>
              </w:rPr>
              <w:t>candidatures</w:t>
            </w:r>
            <w:proofErr w:type="gramEnd"/>
          </w:p>
        </w:tc>
        <w:tc>
          <w:tcPr>
            <w:tcW w:w="1660" w:type="dxa"/>
            <w:noWrap/>
            <w:hideMark/>
          </w:tcPr>
          <w:p w:rsidR="00B3266D" w:rsidRPr="00B3266D" w:rsidRDefault="00B3266D" w:rsidP="00B3266D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B3266D">
              <w:rPr>
                <w:b/>
                <w:bCs/>
                <w:sz w:val="18"/>
                <w:szCs w:val="18"/>
              </w:rPr>
              <w:t>postes</w:t>
            </w:r>
            <w:proofErr w:type="gramEnd"/>
            <w:r w:rsidRPr="00B3266D">
              <w:rPr>
                <w:b/>
                <w:bCs/>
                <w:sz w:val="18"/>
                <w:szCs w:val="18"/>
              </w:rPr>
              <w:t xml:space="preserve"> proposés</w:t>
            </w:r>
          </w:p>
        </w:tc>
        <w:tc>
          <w:tcPr>
            <w:tcW w:w="1240" w:type="dxa"/>
            <w:noWrap/>
            <w:hideMark/>
          </w:tcPr>
          <w:p w:rsidR="00B3266D" w:rsidRPr="00B3266D" w:rsidRDefault="00B3266D" w:rsidP="00B3266D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B3266D">
              <w:rPr>
                <w:b/>
                <w:bCs/>
                <w:sz w:val="18"/>
                <w:szCs w:val="18"/>
              </w:rPr>
              <w:t>postes</w:t>
            </w:r>
            <w:proofErr w:type="gramEnd"/>
            <w:r w:rsidRPr="00B3266D">
              <w:rPr>
                <w:b/>
                <w:bCs/>
                <w:sz w:val="18"/>
                <w:szCs w:val="18"/>
              </w:rPr>
              <w:t xml:space="preserve"> MAD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b/>
                <w:bCs/>
                <w:sz w:val="18"/>
                <w:szCs w:val="18"/>
              </w:rPr>
            </w:pPr>
            <w:r w:rsidRPr="00B3266D">
              <w:rPr>
                <w:b/>
                <w:bCs/>
                <w:sz w:val="18"/>
                <w:szCs w:val="18"/>
              </w:rPr>
              <w:t>90</w:t>
            </w:r>
            <w:r w:rsidR="00551AA2">
              <w:rPr>
                <w:b/>
                <w:bCs/>
                <w:sz w:val="18"/>
                <w:szCs w:val="18"/>
              </w:rPr>
              <w:t xml:space="preserve"> pts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b/>
                <w:bCs/>
                <w:sz w:val="18"/>
                <w:szCs w:val="18"/>
              </w:rPr>
            </w:pPr>
            <w:r w:rsidRPr="00B3266D">
              <w:rPr>
                <w:b/>
                <w:bCs/>
                <w:sz w:val="18"/>
                <w:szCs w:val="18"/>
              </w:rPr>
              <w:t>100</w:t>
            </w:r>
            <w:r w:rsidR="00551AA2">
              <w:rPr>
                <w:b/>
                <w:bCs/>
                <w:sz w:val="18"/>
                <w:szCs w:val="18"/>
              </w:rPr>
              <w:t xml:space="preserve"> pts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b/>
                <w:bCs/>
                <w:sz w:val="18"/>
                <w:szCs w:val="18"/>
              </w:rPr>
            </w:pPr>
            <w:r w:rsidRPr="00B3266D">
              <w:rPr>
                <w:b/>
                <w:bCs/>
                <w:sz w:val="18"/>
                <w:szCs w:val="18"/>
              </w:rPr>
              <w:t>115</w:t>
            </w:r>
            <w:r w:rsidR="00551AA2">
              <w:rPr>
                <w:b/>
                <w:bCs/>
                <w:sz w:val="18"/>
                <w:szCs w:val="18"/>
              </w:rPr>
              <w:t xml:space="preserve"> pts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b/>
                <w:bCs/>
                <w:sz w:val="18"/>
                <w:szCs w:val="18"/>
              </w:rPr>
            </w:pPr>
            <w:r w:rsidRPr="00B3266D">
              <w:rPr>
                <w:b/>
                <w:bCs/>
                <w:sz w:val="18"/>
                <w:szCs w:val="18"/>
              </w:rPr>
              <w:t>125</w:t>
            </w:r>
            <w:r w:rsidR="00551AA2">
              <w:rPr>
                <w:b/>
                <w:bCs/>
                <w:sz w:val="18"/>
                <w:szCs w:val="18"/>
              </w:rPr>
              <w:t xml:space="preserve"> pts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b/>
                <w:bCs/>
                <w:sz w:val="18"/>
                <w:szCs w:val="18"/>
              </w:rPr>
            </w:pPr>
            <w:r w:rsidRPr="00B3266D">
              <w:rPr>
                <w:b/>
                <w:bCs/>
                <w:sz w:val="18"/>
                <w:szCs w:val="18"/>
              </w:rPr>
              <w:t>130</w:t>
            </w:r>
            <w:r w:rsidR="00551AA2">
              <w:rPr>
                <w:b/>
                <w:bCs/>
                <w:sz w:val="18"/>
                <w:szCs w:val="18"/>
              </w:rPr>
              <w:t xml:space="preserve"> pts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b/>
                <w:bCs/>
                <w:sz w:val="18"/>
                <w:szCs w:val="18"/>
              </w:rPr>
            </w:pPr>
            <w:r w:rsidRPr="00B3266D">
              <w:rPr>
                <w:b/>
                <w:bCs/>
                <w:sz w:val="18"/>
                <w:szCs w:val="18"/>
              </w:rPr>
              <w:t>140</w:t>
            </w:r>
            <w:r w:rsidR="00551AA2">
              <w:rPr>
                <w:b/>
                <w:bCs/>
                <w:sz w:val="18"/>
                <w:szCs w:val="18"/>
              </w:rPr>
              <w:t xml:space="preserve"> pts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b/>
                <w:bCs/>
                <w:sz w:val="18"/>
                <w:szCs w:val="18"/>
              </w:rPr>
            </w:pPr>
            <w:r w:rsidRPr="00B3266D">
              <w:rPr>
                <w:b/>
                <w:bCs/>
                <w:sz w:val="18"/>
                <w:szCs w:val="18"/>
              </w:rPr>
              <w:t>120</w:t>
            </w:r>
            <w:r w:rsidR="00551AA2">
              <w:rPr>
                <w:b/>
                <w:bCs/>
                <w:sz w:val="18"/>
                <w:szCs w:val="18"/>
              </w:rPr>
              <w:t xml:space="preserve"> pts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b/>
                <w:bCs/>
                <w:sz w:val="18"/>
                <w:szCs w:val="18"/>
              </w:rPr>
            </w:pPr>
            <w:r w:rsidRPr="00B3266D">
              <w:rPr>
                <w:b/>
                <w:bCs/>
                <w:sz w:val="18"/>
                <w:szCs w:val="18"/>
              </w:rPr>
              <w:t>110</w:t>
            </w:r>
            <w:r w:rsidR="00551AA2">
              <w:rPr>
                <w:b/>
                <w:bCs/>
                <w:sz w:val="18"/>
                <w:szCs w:val="18"/>
              </w:rPr>
              <w:t xml:space="preserve"> pts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b/>
                <w:bCs/>
                <w:sz w:val="18"/>
                <w:szCs w:val="18"/>
              </w:rPr>
            </w:pPr>
            <w:r w:rsidRPr="00B3266D">
              <w:rPr>
                <w:b/>
                <w:bCs/>
                <w:sz w:val="18"/>
                <w:szCs w:val="18"/>
              </w:rPr>
              <w:t>105</w:t>
            </w:r>
            <w:r w:rsidR="00551AA2">
              <w:rPr>
                <w:b/>
                <w:bCs/>
                <w:sz w:val="18"/>
                <w:szCs w:val="18"/>
              </w:rPr>
              <w:t xml:space="preserve"> pts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51AA2" w:rsidRPr="00B3266D" w:rsidTr="00B3266D">
        <w:trPr>
          <w:trHeight w:val="288"/>
        </w:trPr>
        <w:tc>
          <w:tcPr>
            <w:tcW w:w="1760" w:type="dxa"/>
            <w:hideMark/>
          </w:tcPr>
          <w:p w:rsidR="00B3266D" w:rsidRPr="00B3266D" w:rsidRDefault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ALLEMAND</w:t>
            </w:r>
          </w:p>
        </w:tc>
        <w:tc>
          <w:tcPr>
            <w:tcW w:w="13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4</w:t>
            </w:r>
          </w:p>
        </w:tc>
        <w:tc>
          <w:tcPr>
            <w:tcW w:w="166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0</w:t>
            </w:r>
          </w:p>
        </w:tc>
        <w:tc>
          <w:tcPr>
            <w:tcW w:w="12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0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</w:tr>
      <w:tr w:rsidR="00551AA2" w:rsidRPr="00B3266D" w:rsidTr="00B3266D">
        <w:trPr>
          <w:trHeight w:val="288"/>
        </w:trPr>
        <w:tc>
          <w:tcPr>
            <w:tcW w:w="1760" w:type="dxa"/>
            <w:hideMark/>
          </w:tcPr>
          <w:p w:rsidR="00B3266D" w:rsidRPr="00B3266D" w:rsidRDefault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ANGLAIS</w:t>
            </w:r>
          </w:p>
        </w:tc>
        <w:tc>
          <w:tcPr>
            <w:tcW w:w="13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80</w:t>
            </w:r>
          </w:p>
        </w:tc>
        <w:tc>
          <w:tcPr>
            <w:tcW w:w="166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25</w:t>
            </w:r>
          </w:p>
        </w:tc>
        <w:tc>
          <w:tcPr>
            <w:tcW w:w="12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0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</w:tr>
      <w:tr w:rsidR="00551AA2" w:rsidRPr="00B3266D" w:rsidTr="00B3266D">
        <w:trPr>
          <w:trHeight w:val="288"/>
        </w:trPr>
        <w:tc>
          <w:tcPr>
            <w:tcW w:w="1760" w:type="dxa"/>
            <w:hideMark/>
          </w:tcPr>
          <w:p w:rsidR="00B3266D" w:rsidRPr="00B3266D" w:rsidRDefault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ARTS PLAST</w:t>
            </w:r>
          </w:p>
        </w:tc>
        <w:tc>
          <w:tcPr>
            <w:tcW w:w="13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28</w:t>
            </w:r>
          </w:p>
        </w:tc>
        <w:tc>
          <w:tcPr>
            <w:tcW w:w="166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8,5</w:t>
            </w:r>
          </w:p>
        </w:tc>
        <w:tc>
          <w:tcPr>
            <w:tcW w:w="12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0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</w:tr>
      <w:tr w:rsidR="00551AA2" w:rsidRPr="00B3266D" w:rsidTr="00B3266D">
        <w:trPr>
          <w:trHeight w:val="288"/>
        </w:trPr>
        <w:tc>
          <w:tcPr>
            <w:tcW w:w="1760" w:type="dxa"/>
            <w:hideMark/>
          </w:tcPr>
          <w:p w:rsidR="00B3266D" w:rsidRPr="00B3266D" w:rsidRDefault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CPE</w:t>
            </w:r>
          </w:p>
        </w:tc>
        <w:tc>
          <w:tcPr>
            <w:tcW w:w="13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48</w:t>
            </w:r>
          </w:p>
        </w:tc>
        <w:tc>
          <w:tcPr>
            <w:tcW w:w="166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19</w:t>
            </w:r>
          </w:p>
        </w:tc>
        <w:tc>
          <w:tcPr>
            <w:tcW w:w="12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9 dont 4 PCP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4</w:t>
            </w:r>
          </w:p>
        </w:tc>
      </w:tr>
      <w:tr w:rsidR="00551AA2" w:rsidRPr="00B3266D" w:rsidTr="00B3266D">
        <w:trPr>
          <w:trHeight w:val="288"/>
        </w:trPr>
        <w:tc>
          <w:tcPr>
            <w:tcW w:w="1760" w:type="dxa"/>
            <w:hideMark/>
          </w:tcPr>
          <w:p w:rsidR="00B3266D" w:rsidRPr="00B3266D" w:rsidRDefault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DOC</w:t>
            </w:r>
          </w:p>
        </w:tc>
        <w:tc>
          <w:tcPr>
            <w:tcW w:w="13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30</w:t>
            </w:r>
          </w:p>
        </w:tc>
        <w:tc>
          <w:tcPr>
            <w:tcW w:w="166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18</w:t>
            </w:r>
          </w:p>
        </w:tc>
        <w:tc>
          <w:tcPr>
            <w:tcW w:w="12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7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551AA2" w:rsidP="00B3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NC</w:t>
            </w:r>
          </w:p>
        </w:tc>
      </w:tr>
      <w:tr w:rsidR="00551AA2" w:rsidRPr="00B3266D" w:rsidTr="00B3266D">
        <w:trPr>
          <w:trHeight w:val="288"/>
        </w:trPr>
        <w:tc>
          <w:tcPr>
            <w:tcW w:w="1760" w:type="dxa"/>
            <w:hideMark/>
          </w:tcPr>
          <w:p w:rsidR="00B3266D" w:rsidRPr="00B3266D" w:rsidRDefault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EDU.MUSICA</w:t>
            </w:r>
          </w:p>
        </w:tc>
        <w:tc>
          <w:tcPr>
            <w:tcW w:w="13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15</w:t>
            </w:r>
          </w:p>
        </w:tc>
        <w:tc>
          <w:tcPr>
            <w:tcW w:w="166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10,5</w:t>
            </w:r>
          </w:p>
        </w:tc>
        <w:tc>
          <w:tcPr>
            <w:tcW w:w="12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5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2</w:t>
            </w:r>
          </w:p>
        </w:tc>
      </w:tr>
      <w:tr w:rsidR="00551AA2" w:rsidRPr="00B3266D" w:rsidTr="00B3266D">
        <w:trPr>
          <w:trHeight w:val="288"/>
        </w:trPr>
        <w:tc>
          <w:tcPr>
            <w:tcW w:w="1760" w:type="dxa"/>
            <w:hideMark/>
          </w:tcPr>
          <w:p w:rsidR="00B3266D" w:rsidRPr="00B3266D" w:rsidRDefault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ESPAGNOL</w:t>
            </w:r>
          </w:p>
        </w:tc>
        <w:tc>
          <w:tcPr>
            <w:tcW w:w="13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51</w:t>
            </w:r>
          </w:p>
        </w:tc>
        <w:tc>
          <w:tcPr>
            <w:tcW w:w="166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15</w:t>
            </w:r>
          </w:p>
        </w:tc>
        <w:tc>
          <w:tcPr>
            <w:tcW w:w="12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6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</w:tr>
      <w:tr w:rsidR="00551AA2" w:rsidRPr="00B3266D" w:rsidTr="00B3266D">
        <w:trPr>
          <w:trHeight w:val="288"/>
        </w:trPr>
        <w:tc>
          <w:tcPr>
            <w:tcW w:w="1760" w:type="dxa"/>
            <w:hideMark/>
          </w:tcPr>
          <w:p w:rsidR="00B3266D" w:rsidRPr="00B3266D" w:rsidRDefault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HIST GEOG</w:t>
            </w:r>
          </w:p>
        </w:tc>
        <w:tc>
          <w:tcPr>
            <w:tcW w:w="13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84</w:t>
            </w:r>
          </w:p>
        </w:tc>
        <w:tc>
          <w:tcPr>
            <w:tcW w:w="166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29,5</w:t>
            </w:r>
          </w:p>
        </w:tc>
        <w:tc>
          <w:tcPr>
            <w:tcW w:w="12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8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3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4</w:t>
            </w:r>
          </w:p>
        </w:tc>
      </w:tr>
      <w:tr w:rsidR="00551AA2" w:rsidRPr="00B3266D" w:rsidTr="00B3266D">
        <w:trPr>
          <w:trHeight w:val="288"/>
        </w:trPr>
        <w:tc>
          <w:tcPr>
            <w:tcW w:w="1760" w:type="dxa"/>
            <w:hideMark/>
          </w:tcPr>
          <w:p w:rsidR="00B3266D" w:rsidRPr="00B3266D" w:rsidRDefault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LET CLASSI</w:t>
            </w:r>
          </w:p>
        </w:tc>
        <w:tc>
          <w:tcPr>
            <w:tcW w:w="13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8</w:t>
            </w:r>
          </w:p>
        </w:tc>
        <w:tc>
          <w:tcPr>
            <w:tcW w:w="166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7</w:t>
            </w:r>
          </w:p>
        </w:tc>
        <w:tc>
          <w:tcPr>
            <w:tcW w:w="12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5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</w:tr>
      <w:tr w:rsidR="00551AA2" w:rsidRPr="00B3266D" w:rsidTr="00B3266D">
        <w:trPr>
          <w:trHeight w:val="288"/>
        </w:trPr>
        <w:tc>
          <w:tcPr>
            <w:tcW w:w="1760" w:type="dxa"/>
            <w:hideMark/>
          </w:tcPr>
          <w:p w:rsidR="00B3266D" w:rsidRPr="00B3266D" w:rsidRDefault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LET MODERN</w:t>
            </w:r>
          </w:p>
        </w:tc>
        <w:tc>
          <w:tcPr>
            <w:tcW w:w="13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104</w:t>
            </w:r>
          </w:p>
        </w:tc>
        <w:tc>
          <w:tcPr>
            <w:tcW w:w="166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36</w:t>
            </w:r>
          </w:p>
        </w:tc>
        <w:tc>
          <w:tcPr>
            <w:tcW w:w="12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13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5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6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6</w:t>
            </w:r>
          </w:p>
        </w:tc>
      </w:tr>
      <w:tr w:rsidR="00551AA2" w:rsidRPr="00B3266D" w:rsidTr="00B3266D">
        <w:trPr>
          <w:trHeight w:val="288"/>
        </w:trPr>
        <w:tc>
          <w:tcPr>
            <w:tcW w:w="1760" w:type="dxa"/>
            <w:hideMark/>
          </w:tcPr>
          <w:p w:rsidR="00B3266D" w:rsidRPr="00B3266D" w:rsidRDefault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MATHEMATIQ</w:t>
            </w:r>
          </w:p>
        </w:tc>
        <w:tc>
          <w:tcPr>
            <w:tcW w:w="13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94</w:t>
            </w:r>
          </w:p>
        </w:tc>
        <w:tc>
          <w:tcPr>
            <w:tcW w:w="166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34</w:t>
            </w:r>
          </w:p>
        </w:tc>
        <w:tc>
          <w:tcPr>
            <w:tcW w:w="12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6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</w:tr>
      <w:tr w:rsidR="00551AA2" w:rsidRPr="00B3266D" w:rsidTr="00B3266D">
        <w:trPr>
          <w:trHeight w:val="288"/>
        </w:trPr>
        <w:tc>
          <w:tcPr>
            <w:tcW w:w="1760" w:type="dxa"/>
            <w:hideMark/>
          </w:tcPr>
          <w:p w:rsidR="00B3266D" w:rsidRPr="00B3266D" w:rsidRDefault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PHILOSOPHI</w:t>
            </w:r>
          </w:p>
        </w:tc>
        <w:tc>
          <w:tcPr>
            <w:tcW w:w="13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13</w:t>
            </w:r>
          </w:p>
        </w:tc>
        <w:tc>
          <w:tcPr>
            <w:tcW w:w="166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6,5</w:t>
            </w:r>
          </w:p>
        </w:tc>
        <w:tc>
          <w:tcPr>
            <w:tcW w:w="12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5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</w:tr>
      <w:tr w:rsidR="00551AA2" w:rsidRPr="00B3266D" w:rsidTr="00B3266D">
        <w:trPr>
          <w:trHeight w:val="288"/>
        </w:trPr>
        <w:tc>
          <w:tcPr>
            <w:tcW w:w="1760" w:type="dxa"/>
            <w:hideMark/>
          </w:tcPr>
          <w:p w:rsidR="00B3266D" w:rsidRPr="00B3266D" w:rsidRDefault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PSY EN</w:t>
            </w:r>
          </w:p>
        </w:tc>
        <w:tc>
          <w:tcPr>
            <w:tcW w:w="13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44</w:t>
            </w:r>
          </w:p>
        </w:tc>
        <w:tc>
          <w:tcPr>
            <w:tcW w:w="166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5</w:t>
            </w:r>
          </w:p>
        </w:tc>
        <w:tc>
          <w:tcPr>
            <w:tcW w:w="12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</w:tr>
      <w:tr w:rsidR="00551AA2" w:rsidRPr="00B3266D" w:rsidTr="00B3266D">
        <w:trPr>
          <w:trHeight w:val="288"/>
        </w:trPr>
        <w:tc>
          <w:tcPr>
            <w:tcW w:w="1760" w:type="dxa"/>
            <w:hideMark/>
          </w:tcPr>
          <w:p w:rsidR="00B3266D" w:rsidRPr="00B3266D" w:rsidRDefault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PHYS.CHIM.</w:t>
            </w:r>
          </w:p>
        </w:tc>
        <w:tc>
          <w:tcPr>
            <w:tcW w:w="13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44</w:t>
            </w:r>
          </w:p>
        </w:tc>
        <w:tc>
          <w:tcPr>
            <w:tcW w:w="166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15,5</w:t>
            </w:r>
          </w:p>
        </w:tc>
        <w:tc>
          <w:tcPr>
            <w:tcW w:w="12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</w:tr>
      <w:tr w:rsidR="00551AA2" w:rsidRPr="00B3266D" w:rsidTr="00B3266D">
        <w:trPr>
          <w:trHeight w:val="288"/>
        </w:trPr>
        <w:tc>
          <w:tcPr>
            <w:tcW w:w="1760" w:type="dxa"/>
            <w:hideMark/>
          </w:tcPr>
          <w:p w:rsidR="00B3266D" w:rsidRPr="00B3266D" w:rsidRDefault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SC.ECO.SOC</w:t>
            </w:r>
          </w:p>
        </w:tc>
        <w:tc>
          <w:tcPr>
            <w:tcW w:w="13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14</w:t>
            </w:r>
          </w:p>
        </w:tc>
        <w:tc>
          <w:tcPr>
            <w:tcW w:w="166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4</w:t>
            </w:r>
          </w:p>
        </w:tc>
        <w:tc>
          <w:tcPr>
            <w:tcW w:w="12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3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</w:tr>
      <w:tr w:rsidR="00551AA2" w:rsidRPr="00B3266D" w:rsidTr="00B3266D">
        <w:trPr>
          <w:trHeight w:val="288"/>
        </w:trPr>
        <w:tc>
          <w:tcPr>
            <w:tcW w:w="1760" w:type="dxa"/>
            <w:hideMark/>
          </w:tcPr>
          <w:p w:rsidR="00B3266D" w:rsidRPr="00B3266D" w:rsidRDefault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SC.VIE TER</w:t>
            </w:r>
          </w:p>
        </w:tc>
        <w:tc>
          <w:tcPr>
            <w:tcW w:w="13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36</w:t>
            </w:r>
          </w:p>
        </w:tc>
        <w:tc>
          <w:tcPr>
            <w:tcW w:w="166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17</w:t>
            </w:r>
          </w:p>
        </w:tc>
        <w:tc>
          <w:tcPr>
            <w:tcW w:w="12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</w:tr>
      <w:tr w:rsidR="00551AA2" w:rsidRPr="00B3266D" w:rsidTr="00B3266D">
        <w:trPr>
          <w:trHeight w:val="288"/>
        </w:trPr>
        <w:tc>
          <w:tcPr>
            <w:tcW w:w="1760" w:type="dxa"/>
            <w:hideMark/>
          </w:tcPr>
          <w:p w:rsidR="00B3266D" w:rsidRPr="00B3266D" w:rsidRDefault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TECHNOLOGI</w:t>
            </w:r>
          </w:p>
        </w:tc>
        <w:tc>
          <w:tcPr>
            <w:tcW w:w="13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22</w:t>
            </w:r>
          </w:p>
        </w:tc>
        <w:tc>
          <w:tcPr>
            <w:tcW w:w="166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23</w:t>
            </w:r>
          </w:p>
        </w:tc>
        <w:tc>
          <w:tcPr>
            <w:tcW w:w="12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4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551AA2" w:rsidP="00B326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NC</w:t>
            </w:r>
          </w:p>
        </w:tc>
      </w:tr>
      <w:tr w:rsidR="00551AA2" w:rsidRPr="00B3266D" w:rsidTr="00B3266D">
        <w:trPr>
          <w:trHeight w:val="288"/>
        </w:trPr>
        <w:tc>
          <w:tcPr>
            <w:tcW w:w="1760" w:type="dxa"/>
            <w:noWrap/>
            <w:hideMark/>
          </w:tcPr>
          <w:p w:rsidR="00B3266D" w:rsidRPr="00551AA2" w:rsidRDefault="00551AA2" w:rsidP="00B3266D">
            <w:pPr>
              <w:rPr>
                <w:b/>
                <w:sz w:val="18"/>
                <w:szCs w:val="18"/>
              </w:rPr>
            </w:pPr>
            <w:r w:rsidRPr="00551AA2">
              <w:rPr>
                <w:b/>
                <w:sz w:val="18"/>
                <w:szCs w:val="18"/>
              </w:rPr>
              <w:t>Totaux</w:t>
            </w:r>
          </w:p>
        </w:tc>
        <w:tc>
          <w:tcPr>
            <w:tcW w:w="13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719</w:t>
            </w:r>
          </w:p>
        </w:tc>
        <w:tc>
          <w:tcPr>
            <w:tcW w:w="166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273,5</w:t>
            </w:r>
          </w:p>
        </w:tc>
        <w:tc>
          <w:tcPr>
            <w:tcW w:w="124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87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3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6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6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18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19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11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2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10</w:t>
            </w:r>
          </w:p>
        </w:tc>
        <w:tc>
          <w:tcPr>
            <w:tcW w:w="620" w:type="dxa"/>
            <w:noWrap/>
            <w:hideMark/>
          </w:tcPr>
          <w:p w:rsidR="00B3266D" w:rsidRPr="00B3266D" w:rsidRDefault="00B3266D" w:rsidP="00B3266D">
            <w:pPr>
              <w:rPr>
                <w:sz w:val="18"/>
                <w:szCs w:val="18"/>
              </w:rPr>
            </w:pPr>
            <w:r w:rsidRPr="00B3266D">
              <w:rPr>
                <w:sz w:val="18"/>
                <w:szCs w:val="18"/>
              </w:rPr>
              <w:t>21</w:t>
            </w:r>
          </w:p>
        </w:tc>
      </w:tr>
    </w:tbl>
    <w:p w:rsidR="00652CC0" w:rsidRDefault="00652CC0"/>
    <w:p w:rsidR="00B3266D" w:rsidRPr="00551AA2" w:rsidRDefault="00B3266D">
      <w:pPr>
        <w:rPr>
          <w:b/>
        </w:rPr>
      </w:pPr>
      <w:r w:rsidRPr="00551AA2">
        <w:rPr>
          <w:b/>
        </w:rPr>
        <w:t>Lexique :</w:t>
      </w:r>
    </w:p>
    <w:p w:rsidR="00B3266D" w:rsidRDefault="00B3266D">
      <w:r>
        <w:t>MAD : Mis à disposition du gouvernement de la Polynésie Française. Ce sont les rentrant de métropole.</w:t>
      </w:r>
    </w:p>
    <w:p w:rsidR="00B3266D" w:rsidRDefault="00B3266D">
      <w:r>
        <w:t>RAD : remis à disposition du MEN. Ce sont les rentrants après le contrat de 4 ans.</w:t>
      </w:r>
    </w:p>
    <w:p w:rsidR="00B3266D" w:rsidRDefault="00B3266D">
      <w:r>
        <w:t xml:space="preserve">CIMM : Contrat </w:t>
      </w:r>
      <w:r w:rsidR="00551AA2">
        <w:t xml:space="preserve">d’intérêt </w:t>
      </w:r>
      <w:r>
        <w:t xml:space="preserve">moral </w:t>
      </w:r>
      <w:r w:rsidR="00551AA2">
        <w:t>et matériel. Ce sont les recrutés locaux ou les MAD qui se sont définitivement installés.</w:t>
      </w:r>
    </w:p>
    <w:p w:rsidR="00551AA2" w:rsidRDefault="00551AA2">
      <w:r>
        <w:t>VR : Vice-Rectorat. C’est le MEN en Polynésie.</w:t>
      </w:r>
    </w:p>
    <w:p w:rsidR="00551AA2" w:rsidRDefault="00551AA2">
      <w:r>
        <w:t>DGEE : C’est le service du ministère de l’Education Polynésienne qui se charge du secondaire.</w:t>
      </w:r>
    </w:p>
    <w:p w:rsidR="00551AA2" w:rsidRDefault="00551AA2" w:rsidP="00551AA2">
      <w:r>
        <w:t>Pour la lecture du tableau :</w:t>
      </w:r>
    </w:p>
    <w:p w:rsidR="00551AA2" w:rsidRDefault="00551AA2" w:rsidP="00551AA2">
      <w:r>
        <w:t>PD : Poste double (+ 10 pts par conjoint).</w:t>
      </w:r>
    </w:p>
    <w:p w:rsidR="00551AA2" w:rsidRDefault="00551AA2">
      <w:r>
        <w:t>NC : non calculé.</w:t>
      </w:r>
    </w:p>
    <w:sectPr w:rsidR="00551AA2" w:rsidSect="00234B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EC6"/>
    <w:rsid w:val="000B600A"/>
    <w:rsid w:val="00107ACF"/>
    <w:rsid w:val="00135B4C"/>
    <w:rsid w:val="00234B44"/>
    <w:rsid w:val="00251D96"/>
    <w:rsid w:val="00371C00"/>
    <w:rsid w:val="00424C09"/>
    <w:rsid w:val="004254E0"/>
    <w:rsid w:val="004F4068"/>
    <w:rsid w:val="00551AA2"/>
    <w:rsid w:val="00592EC6"/>
    <w:rsid w:val="005D62A0"/>
    <w:rsid w:val="00652CC0"/>
    <w:rsid w:val="007219B4"/>
    <w:rsid w:val="00746B8E"/>
    <w:rsid w:val="007C2390"/>
    <w:rsid w:val="00893B4E"/>
    <w:rsid w:val="00AD4BA1"/>
    <w:rsid w:val="00B02D52"/>
    <w:rsid w:val="00B3266D"/>
    <w:rsid w:val="00CE13FD"/>
    <w:rsid w:val="00E8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F13C"/>
  <w15:chartTrackingRefBased/>
  <w15:docId w15:val="{B03E3560-B4C6-4EAF-8CA6-B0DA5C22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E13F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E13FD"/>
    <w:rPr>
      <w:i/>
      <w:iCs/>
      <w:color w:val="000000" w:themeColor="text1"/>
    </w:rPr>
  </w:style>
  <w:style w:type="table" w:styleId="Grilledutableau">
    <w:name w:val="Table Grid"/>
    <w:basedOn w:val="TableauNormal"/>
    <w:uiPriority w:val="39"/>
    <w:rsid w:val="00424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07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7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SNES</dc:creator>
  <cp:keywords/>
  <dc:description/>
  <cp:lastModifiedBy>alexandra iardino</cp:lastModifiedBy>
  <cp:revision>2</cp:revision>
  <cp:lastPrinted>2018-02-24T03:01:00Z</cp:lastPrinted>
  <dcterms:created xsi:type="dcterms:W3CDTF">2018-03-02T21:24:00Z</dcterms:created>
  <dcterms:modified xsi:type="dcterms:W3CDTF">2018-03-02T21:24:00Z</dcterms:modified>
</cp:coreProperties>
</file>